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A00F" w14:textId="018EAFAC" w:rsidR="001C2BB1" w:rsidRPr="000B4960" w:rsidRDefault="000B4960" w:rsidP="00BA0A52">
      <w:pPr>
        <w:shd w:val="clear" w:color="auto" w:fill="FFFFFF"/>
        <w:spacing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EE0000"/>
          <w:sz w:val="26"/>
          <w:szCs w:val="26"/>
          <w:lang w:eastAsia="it-IT"/>
        </w:rPr>
      </w:pPr>
      <w:r w:rsidRPr="000B4960">
        <w:rPr>
          <w:rFonts w:ascii="Trebuchet MS" w:eastAsia="Times New Roman" w:hAnsi="Trebuchet MS" w:cs="Times New Roman"/>
          <w:b/>
          <w:bCs/>
          <w:color w:val="EE0000"/>
          <w:sz w:val="26"/>
          <w:szCs w:val="26"/>
          <w:lang w:eastAsia="it-IT"/>
        </w:rPr>
        <w:t>Creare nuova pagina</w:t>
      </w:r>
    </w:p>
    <w:p w14:paraId="44E4A9B6" w14:textId="77777777" w:rsidR="001C2BB1" w:rsidRDefault="001C2BB1" w:rsidP="00BA0A52">
      <w:pPr>
        <w:shd w:val="clear" w:color="auto" w:fill="FFFFFF"/>
        <w:spacing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6"/>
          <w:szCs w:val="26"/>
          <w:lang w:eastAsia="it-IT"/>
        </w:rPr>
      </w:pPr>
    </w:p>
    <w:p w14:paraId="7E7A0BAF" w14:textId="16310E25" w:rsidR="00BA0A52" w:rsidRPr="00BA0A52" w:rsidRDefault="000B4960" w:rsidP="00BA0A52">
      <w:pPr>
        <w:shd w:val="clear" w:color="auto" w:fill="FFFFFF"/>
        <w:spacing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003366"/>
          <w:sz w:val="26"/>
          <w:szCs w:val="26"/>
          <w:lang w:eastAsia="it-IT"/>
        </w:rPr>
      </w:pPr>
      <w:r>
        <w:rPr>
          <w:rFonts w:ascii="Trebuchet MS" w:eastAsia="Times New Roman" w:hAnsi="Trebuchet MS" w:cs="Times New Roman"/>
          <w:b/>
          <w:bCs/>
          <w:color w:val="003366"/>
          <w:sz w:val="26"/>
          <w:szCs w:val="26"/>
          <w:lang w:eastAsia="it-IT"/>
        </w:rPr>
        <w:t>Eredità giacente</w:t>
      </w:r>
    </w:p>
    <w:p w14:paraId="10020C2F" w14:textId="77777777" w:rsidR="00D956D2" w:rsidRDefault="00D956D2" w:rsidP="00D956D2">
      <w:pPr>
        <w:shd w:val="clear" w:color="auto" w:fill="FFFFFF"/>
        <w:spacing w:after="135" w:line="240" w:lineRule="auto"/>
        <w:outlineLvl w:val="2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</w:p>
    <w:p w14:paraId="2B1F31CF" w14:textId="6EBB0936" w:rsidR="00BA0A52" w:rsidRPr="00BA0A52" w:rsidRDefault="00A45C1B" w:rsidP="00BA0A52">
      <w:pPr>
        <w:shd w:val="clear" w:color="auto" w:fill="FFFFFF"/>
        <w:spacing w:after="135" w:line="240" w:lineRule="auto"/>
        <w:outlineLvl w:val="2"/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</w:pPr>
      <w:r w:rsidRPr="00BA0A52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  <w:t>COS’È</w:t>
      </w:r>
    </w:p>
    <w:p w14:paraId="6B62B06D" w14:textId="1FC021B7" w:rsidR="00C97A5D" w:rsidRDefault="000B4960" w:rsidP="00D956D2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  <w:r w:rsidRPr="000B4960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 xml:space="preserve">Se il chiamato non ha accettato l'eredità e non è nel possesso dei beni ereditari, il tribunale del circondario in cui si è aperta la successione (e cioè del luogo </w:t>
      </w:r>
      <w:r w:rsidR="0099469C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 xml:space="preserve">del </w:t>
      </w:r>
      <w:r w:rsidRPr="000B4960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domicilio del defunto al momento della morte), su istanza degli interessati o anche d'ufficio</w:t>
      </w:r>
      <w:r w:rsidR="006A3401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,</w:t>
      </w:r>
      <w:r w:rsidRPr="000B4960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 xml:space="preserve"> </w:t>
      </w:r>
      <w:r w:rsidR="00EA5220" w:rsidRPr="004A107E">
        <w:rPr>
          <w:rFonts w:ascii="Trebuchet MS" w:eastAsia="Times New Roman" w:hAnsi="Trebuchet MS" w:cs="Times New Roman"/>
          <w:b/>
          <w:bCs/>
          <w:sz w:val="20"/>
          <w:szCs w:val="20"/>
          <w:lang w:eastAsia="it-IT"/>
        </w:rPr>
        <w:t>entro dieci anni dall’apertura della successione</w:t>
      </w:r>
      <w:r w:rsidR="00EA5220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 xml:space="preserve">, </w:t>
      </w:r>
      <w:r w:rsidRPr="000B4960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nomina un curatore dell'eredità fino al momento dell'accettazione o, in mancanza, fino alla devoluzione allo Stato. Il giudice vigila sull'amministrazione del curatore.</w:t>
      </w:r>
    </w:p>
    <w:p w14:paraId="5CDD1365" w14:textId="77777777" w:rsidR="000B4960" w:rsidRDefault="000B4960" w:rsidP="00D956D2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</w:p>
    <w:p w14:paraId="3BBC7645" w14:textId="77777777" w:rsidR="00C97A5D" w:rsidRDefault="00C97A5D" w:rsidP="00C97A5D">
      <w:pPr>
        <w:shd w:val="clear" w:color="auto" w:fill="FFFFFF"/>
        <w:spacing w:after="135" w:line="240" w:lineRule="auto"/>
        <w:outlineLvl w:val="2"/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</w:pPr>
      <w:r w:rsidRPr="00BA0A52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  <w:t>NORMATIVA</w:t>
      </w:r>
    </w:p>
    <w:p w14:paraId="46E43470" w14:textId="27FE35A7" w:rsidR="00C97A5D" w:rsidRDefault="00C97A5D" w:rsidP="00C97A5D">
      <w:pPr>
        <w:shd w:val="clear" w:color="auto" w:fill="FFFFFF"/>
        <w:spacing w:after="135" w:line="240" w:lineRule="auto"/>
        <w:outlineLvl w:val="2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  <w:r w:rsidRPr="00BA0A52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 xml:space="preserve">Artt. </w:t>
      </w:r>
      <w:r w:rsidR="000B4960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528</w:t>
      </w:r>
      <w:r w:rsidRPr="00BA0A52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 xml:space="preserve"> e segg. del </w:t>
      </w:r>
      <w:proofErr w:type="gramStart"/>
      <w:r w:rsidR="000B4960" w:rsidRPr="00BA0A52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 xml:space="preserve">Codice </w:t>
      </w:r>
      <w:r w:rsidR="000B4960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C</w:t>
      </w:r>
      <w:r w:rsidR="000B4960" w:rsidRPr="00BA0A52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ivile</w:t>
      </w:r>
      <w:proofErr w:type="gramEnd"/>
      <w:r w:rsidR="000B4960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 xml:space="preserve">, artt. 781 e segg. del </w:t>
      </w:r>
      <w:proofErr w:type="gramStart"/>
      <w:r w:rsidR="000B4960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Codice Civile</w:t>
      </w:r>
      <w:proofErr w:type="gramEnd"/>
      <w:r w:rsidRPr="00BA0A52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.</w:t>
      </w:r>
    </w:p>
    <w:p w14:paraId="41A445AC" w14:textId="77777777" w:rsidR="00A45C1B" w:rsidRDefault="00A45C1B" w:rsidP="00D956D2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</w:p>
    <w:p w14:paraId="43E4A8C8" w14:textId="77777777" w:rsidR="00A45C1B" w:rsidRPr="00BA0A52" w:rsidRDefault="00A45C1B" w:rsidP="00A45C1B">
      <w:pPr>
        <w:shd w:val="clear" w:color="auto" w:fill="FFFFFF"/>
        <w:spacing w:after="135" w:line="240" w:lineRule="auto"/>
        <w:outlineLvl w:val="2"/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</w:pPr>
      <w:r w:rsidRPr="00BA0A52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  <w:t>DOVE</w:t>
      </w:r>
    </w:p>
    <w:p w14:paraId="362BCF1C" w14:textId="63001AA6" w:rsidR="00A45C1B" w:rsidRPr="00BA0A52" w:rsidRDefault="000B4960" w:rsidP="00A45C1B">
      <w:pPr>
        <w:shd w:val="clear" w:color="auto" w:fill="FFFFFF"/>
        <w:spacing w:after="135" w:line="240" w:lineRule="auto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  <w:r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La procedura di eredità giacente può essere aperta nella</w:t>
      </w:r>
      <w:r w:rsidR="00A45C1B" w:rsidRPr="00BA0A52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 xml:space="preserve"> cancelleria del Tribunale del luogo dell'ultimo domicilio del defunto.</w:t>
      </w:r>
    </w:p>
    <w:p w14:paraId="5675863A" w14:textId="77777777" w:rsidR="00C97A5D" w:rsidRDefault="00A45C1B" w:rsidP="00D956D2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</w:pPr>
      <w:r w:rsidRPr="00BA0A52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  <w:t>Per il Tribunale di Monza</w:t>
      </w:r>
      <w:r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  <w:t>:</w:t>
      </w:r>
      <w:r w:rsidRPr="00BA0A52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  <w:t xml:space="preserve"> Cancelleria della Volontaria Giurisdizione – Via De Amicis, 17 </w:t>
      </w:r>
      <w:r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  <w:t>(</w:t>
      </w:r>
      <w:proofErr w:type="gramStart"/>
      <w:r w:rsidRPr="00BA0A52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  <w:t>4°</w:t>
      </w:r>
      <w:proofErr w:type="gramEnd"/>
      <w:r w:rsidRPr="00BA0A52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  <w:t xml:space="preserve"> piano</w:t>
      </w:r>
      <w:r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  <w:t>)</w:t>
      </w:r>
    </w:p>
    <w:p w14:paraId="03CE8CA0" w14:textId="5752FB7E" w:rsidR="008670F9" w:rsidRPr="000B4960" w:rsidRDefault="008670F9" w:rsidP="000B4960">
      <w:pPr>
        <w:shd w:val="clear" w:color="auto" w:fill="FFFFFF"/>
        <w:spacing w:after="135" w:line="240" w:lineRule="auto"/>
        <w:outlineLvl w:val="2"/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</w:pPr>
    </w:p>
    <w:p w14:paraId="42C56F5A" w14:textId="30F7ED94" w:rsidR="00BA0A52" w:rsidRPr="00BA0A52" w:rsidRDefault="00A45C1B" w:rsidP="002800AC">
      <w:pPr>
        <w:shd w:val="clear" w:color="auto" w:fill="FFFFFF"/>
        <w:spacing w:after="135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</w:pPr>
      <w:r w:rsidRPr="00BA0A52"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  <w:t xml:space="preserve">COME </w:t>
      </w:r>
      <w:r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it-IT"/>
        </w:rPr>
        <w:t>PROCEDERE</w:t>
      </w:r>
    </w:p>
    <w:p w14:paraId="1415BC4D" w14:textId="73589CAE" w:rsidR="00F81FDF" w:rsidRDefault="0074125F" w:rsidP="00A06209">
      <w:pPr>
        <w:pStyle w:val="Corpotesto"/>
        <w:tabs>
          <w:tab w:val="left" w:pos="583"/>
        </w:tabs>
        <w:spacing w:line="304" w:lineRule="auto"/>
        <w:ind w:right="-143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  <w:r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Per richiedere la</w:t>
      </w:r>
      <w:r w:rsidR="000B4960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 xml:space="preserve"> nomina del curatore dell’eredità giacente </w:t>
      </w:r>
      <w:r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 xml:space="preserve">è necessario compilare l’istanza di nomina [link a file], </w:t>
      </w:r>
      <w:r w:rsidR="006A3401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allegando</w:t>
      </w:r>
      <w:r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:</w:t>
      </w:r>
    </w:p>
    <w:p w14:paraId="2A2D50FF" w14:textId="21874F9F" w:rsidR="0074125F" w:rsidRDefault="0074125F" w:rsidP="0074125F">
      <w:pPr>
        <w:pStyle w:val="Corpotesto"/>
        <w:numPr>
          <w:ilvl w:val="0"/>
          <w:numId w:val="8"/>
        </w:numPr>
        <w:tabs>
          <w:tab w:val="left" w:pos="583"/>
        </w:tabs>
        <w:spacing w:line="304" w:lineRule="auto"/>
        <w:ind w:right="-143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  <w:r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carta di identità e codice fiscale del richiedente,</w:t>
      </w:r>
    </w:p>
    <w:p w14:paraId="09F72812" w14:textId="24647375" w:rsidR="0074125F" w:rsidRPr="004A107E" w:rsidRDefault="0074125F" w:rsidP="0074125F">
      <w:pPr>
        <w:pStyle w:val="Corpotesto"/>
        <w:numPr>
          <w:ilvl w:val="0"/>
          <w:numId w:val="8"/>
        </w:numPr>
        <w:tabs>
          <w:tab w:val="left" w:pos="583"/>
        </w:tabs>
        <w:spacing w:line="304" w:lineRule="auto"/>
        <w:ind w:right="-143"/>
        <w:jc w:val="both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ED2C42">
        <w:rPr>
          <w:rFonts w:ascii="Trebuchet MS" w:eastAsia="Times New Roman" w:hAnsi="Trebuchet MS" w:cs="Times New Roman"/>
          <w:sz w:val="20"/>
          <w:szCs w:val="20"/>
          <w:lang w:eastAsia="it-IT"/>
        </w:rPr>
        <w:t>certifica</w:t>
      </w:r>
      <w:r w:rsidR="00ED2C42">
        <w:rPr>
          <w:rFonts w:ascii="Trebuchet MS" w:eastAsia="Times New Roman" w:hAnsi="Trebuchet MS" w:cs="Times New Roman"/>
          <w:sz w:val="20"/>
          <w:szCs w:val="20"/>
          <w:lang w:eastAsia="it-IT"/>
        </w:rPr>
        <w:t xml:space="preserve">to di morte </w:t>
      </w:r>
      <w:r w:rsidRPr="00ED2C42">
        <w:rPr>
          <w:rFonts w:ascii="Trebuchet MS" w:eastAsia="Times New Roman" w:hAnsi="Trebuchet MS" w:cs="Times New Roman"/>
          <w:sz w:val="20"/>
          <w:szCs w:val="20"/>
          <w:lang w:eastAsia="it-IT"/>
        </w:rPr>
        <w:t>del defunto</w:t>
      </w:r>
      <w:r w:rsidR="004A107E">
        <w:rPr>
          <w:rFonts w:ascii="Trebuchet MS" w:eastAsia="Times New Roman" w:hAnsi="Trebuchet MS" w:cs="Times New Roman"/>
          <w:sz w:val="20"/>
          <w:szCs w:val="20"/>
          <w:lang w:eastAsia="it-IT"/>
        </w:rPr>
        <w:t>,</w:t>
      </w:r>
    </w:p>
    <w:p w14:paraId="62DB8718" w14:textId="21104793" w:rsidR="0074125F" w:rsidRDefault="0074125F" w:rsidP="0074125F">
      <w:pPr>
        <w:pStyle w:val="Corpotesto"/>
        <w:numPr>
          <w:ilvl w:val="0"/>
          <w:numId w:val="8"/>
        </w:numPr>
        <w:tabs>
          <w:tab w:val="left" w:pos="583"/>
        </w:tabs>
        <w:spacing w:line="304" w:lineRule="auto"/>
        <w:ind w:right="-143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  <w:r w:rsidRPr="0074125F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codice fiscale del defunto</w:t>
      </w:r>
      <w:r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,</w:t>
      </w:r>
    </w:p>
    <w:p w14:paraId="36F758A1" w14:textId="77777777" w:rsidR="00EA5220" w:rsidRPr="004A107E" w:rsidRDefault="00EA5220" w:rsidP="00EA5220">
      <w:pPr>
        <w:pStyle w:val="Corpotesto"/>
        <w:numPr>
          <w:ilvl w:val="0"/>
          <w:numId w:val="8"/>
        </w:numPr>
        <w:tabs>
          <w:tab w:val="left" w:pos="583"/>
        </w:tabs>
        <w:spacing w:line="304" w:lineRule="auto"/>
        <w:ind w:right="-143"/>
        <w:jc w:val="both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4A107E">
        <w:rPr>
          <w:rFonts w:ascii="Trebuchet MS" w:eastAsia="Times New Roman" w:hAnsi="Trebuchet MS" w:cs="Times New Roman"/>
          <w:sz w:val="20"/>
          <w:szCs w:val="20"/>
          <w:lang w:eastAsia="it-IT"/>
        </w:rPr>
        <w:t>certificato storico di residenza e stato di famiglia del defunto;</w:t>
      </w:r>
    </w:p>
    <w:p w14:paraId="54C9F3E3" w14:textId="774EC8D5" w:rsidR="00942002" w:rsidRPr="0074125F" w:rsidRDefault="00942002" w:rsidP="0074125F">
      <w:pPr>
        <w:pStyle w:val="Corpotesto"/>
        <w:numPr>
          <w:ilvl w:val="0"/>
          <w:numId w:val="8"/>
        </w:numPr>
        <w:tabs>
          <w:tab w:val="left" w:pos="583"/>
        </w:tabs>
        <w:spacing w:line="304" w:lineRule="auto"/>
        <w:ind w:right="-143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  <w:r w:rsidRPr="004F4C09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documentazione relativa all’individuazione dei chiamati all’eredità</w:t>
      </w:r>
      <w:r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,</w:t>
      </w:r>
    </w:p>
    <w:p w14:paraId="7AD0F66C" w14:textId="29521D59" w:rsidR="00646E9E" w:rsidRDefault="0074125F" w:rsidP="0074125F">
      <w:pPr>
        <w:pStyle w:val="Corpotesto"/>
        <w:numPr>
          <w:ilvl w:val="0"/>
          <w:numId w:val="8"/>
        </w:numPr>
        <w:tabs>
          <w:tab w:val="left" w:pos="583"/>
        </w:tabs>
        <w:spacing w:line="304" w:lineRule="auto"/>
        <w:ind w:right="-143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  <w:r w:rsidRPr="0074125F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eventuale documentazione a supporto della richiesta</w:t>
      </w:r>
      <w:r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,</w:t>
      </w:r>
    </w:p>
    <w:p w14:paraId="09484DCA" w14:textId="2B8FBF7B" w:rsidR="0074125F" w:rsidRDefault="0074125F" w:rsidP="0074125F">
      <w:pPr>
        <w:pStyle w:val="Corpotesto"/>
        <w:numPr>
          <w:ilvl w:val="0"/>
          <w:numId w:val="8"/>
        </w:numPr>
        <w:tabs>
          <w:tab w:val="left" w:pos="583"/>
        </w:tabs>
        <w:spacing w:line="304" w:lineRule="auto"/>
        <w:ind w:right="-143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  <w:r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pagamento con PagoPA del contributo unificato (98 €) e dei diritti di cancelleria (27 €).</w:t>
      </w:r>
    </w:p>
    <w:p w14:paraId="6F672157" w14:textId="77777777" w:rsidR="0074125F" w:rsidRDefault="0074125F" w:rsidP="0074125F">
      <w:pPr>
        <w:pStyle w:val="Corpotesto"/>
        <w:tabs>
          <w:tab w:val="left" w:pos="583"/>
        </w:tabs>
        <w:spacing w:line="304" w:lineRule="auto"/>
        <w:ind w:right="-143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</w:p>
    <w:p w14:paraId="0955FB82" w14:textId="6C839E54" w:rsidR="0074125F" w:rsidRDefault="0074125F" w:rsidP="0074125F">
      <w:pPr>
        <w:pStyle w:val="Corpotesto"/>
        <w:tabs>
          <w:tab w:val="left" w:pos="583"/>
        </w:tabs>
        <w:spacing w:line="304" w:lineRule="auto"/>
        <w:ind w:right="-143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  <w:r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L’istanza, comprensiva degli allegati indicati, deve essere depositata presso lo sportello della Cancelleria della Volontaria Giurisdizione previo appuntamento da riservare alla pagina</w:t>
      </w:r>
      <w:r w:rsidR="00F01C38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 xml:space="preserve"> </w:t>
      </w:r>
      <w:hyperlink r:id="rId5" w:history="1">
        <w:r w:rsidR="00F01C38" w:rsidRPr="00144F4B">
          <w:rPr>
            <w:rStyle w:val="Collegamentoipertestuale"/>
            <w:rFonts w:ascii="Trebuchet MS" w:eastAsia="Times New Roman" w:hAnsi="Trebuchet MS" w:cs="Times New Roman"/>
            <w:sz w:val="20"/>
            <w:szCs w:val="20"/>
            <w:lang w:eastAsia="it-IT"/>
          </w:rPr>
          <w:t>https://www.tribunale.monza.giustizia.it/it/content/Index/55825</w:t>
        </w:r>
      </w:hyperlink>
    </w:p>
    <w:p w14:paraId="66BE0715" w14:textId="77777777" w:rsidR="00F01C38" w:rsidRDefault="00F01C38" w:rsidP="0074125F">
      <w:pPr>
        <w:pStyle w:val="Corpotesto"/>
        <w:tabs>
          <w:tab w:val="left" w:pos="583"/>
        </w:tabs>
        <w:spacing w:line="304" w:lineRule="auto"/>
        <w:ind w:right="-143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</w:p>
    <w:p w14:paraId="1A4BE477" w14:textId="4F7482DD" w:rsidR="00F01C38" w:rsidRDefault="00942002" w:rsidP="0074125F">
      <w:pPr>
        <w:pStyle w:val="Corpotesto"/>
        <w:tabs>
          <w:tab w:val="left" w:pos="583"/>
        </w:tabs>
        <w:spacing w:line="304" w:lineRule="auto"/>
        <w:ind w:right="-143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  <w:r w:rsidRPr="004F4C09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Il professionista è tenuto al deposito telematico</w:t>
      </w:r>
      <w:r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 xml:space="preserve"> </w:t>
      </w:r>
      <w:r w:rsidR="00F01C38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 xml:space="preserve">(codice oggetto </w:t>
      </w:r>
      <w:r w:rsidR="009A035E"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  <w:t>420302).</w:t>
      </w:r>
    </w:p>
    <w:p w14:paraId="5ED2DB08" w14:textId="77777777" w:rsidR="00F01C38" w:rsidRDefault="00F01C38" w:rsidP="0074125F">
      <w:pPr>
        <w:pStyle w:val="Corpotesto"/>
        <w:tabs>
          <w:tab w:val="left" w:pos="583"/>
        </w:tabs>
        <w:spacing w:line="304" w:lineRule="auto"/>
        <w:ind w:right="-143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</w:p>
    <w:p w14:paraId="0D3C928A" w14:textId="77777777" w:rsidR="00F01C38" w:rsidRPr="0074125F" w:rsidRDefault="00F01C38" w:rsidP="0074125F">
      <w:pPr>
        <w:pStyle w:val="Corpotesto"/>
        <w:tabs>
          <w:tab w:val="left" w:pos="583"/>
        </w:tabs>
        <w:spacing w:line="304" w:lineRule="auto"/>
        <w:ind w:right="-143"/>
        <w:jc w:val="both"/>
        <w:rPr>
          <w:rFonts w:ascii="Trebuchet MS" w:eastAsia="Times New Roman" w:hAnsi="Trebuchet MS" w:cs="Times New Roman"/>
          <w:color w:val="333333"/>
          <w:sz w:val="20"/>
          <w:szCs w:val="20"/>
          <w:lang w:eastAsia="it-IT"/>
        </w:rPr>
      </w:pPr>
    </w:p>
    <w:sectPr w:rsidR="00F01C38" w:rsidRPr="00741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2900"/>
    <w:multiLevelType w:val="multilevel"/>
    <w:tmpl w:val="222A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A21BB"/>
    <w:multiLevelType w:val="multilevel"/>
    <w:tmpl w:val="5A7A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D754BC"/>
    <w:multiLevelType w:val="multilevel"/>
    <w:tmpl w:val="66A2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trike w:val="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55716"/>
    <w:multiLevelType w:val="multilevel"/>
    <w:tmpl w:val="7E5C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72A4A"/>
    <w:multiLevelType w:val="multilevel"/>
    <w:tmpl w:val="D1B2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957621"/>
    <w:multiLevelType w:val="multilevel"/>
    <w:tmpl w:val="5E88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25F9D"/>
    <w:multiLevelType w:val="multilevel"/>
    <w:tmpl w:val="A032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161506"/>
    <w:multiLevelType w:val="multilevel"/>
    <w:tmpl w:val="8B8E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992458">
    <w:abstractNumId w:val="3"/>
  </w:num>
  <w:num w:numId="2" w16cid:durableId="1511412359">
    <w:abstractNumId w:val="5"/>
  </w:num>
  <w:num w:numId="3" w16cid:durableId="1582372599">
    <w:abstractNumId w:val="0"/>
  </w:num>
  <w:num w:numId="4" w16cid:durableId="1021468467">
    <w:abstractNumId w:val="6"/>
  </w:num>
  <w:num w:numId="5" w16cid:durableId="1655254563">
    <w:abstractNumId w:val="1"/>
  </w:num>
  <w:num w:numId="6" w16cid:durableId="464083789">
    <w:abstractNumId w:val="2"/>
  </w:num>
  <w:num w:numId="7" w16cid:durableId="139664370">
    <w:abstractNumId w:val="4"/>
  </w:num>
  <w:num w:numId="8" w16cid:durableId="622731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F4"/>
    <w:rsid w:val="0000383B"/>
    <w:rsid w:val="000271E2"/>
    <w:rsid w:val="0004383B"/>
    <w:rsid w:val="00053A12"/>
    <w:rsid w:val="000B4960"/>
    <w:rsid w:val="000C02A3"/>
    <w:rsid w:val="000C50B7"/>
    <w:rsid w:val="00124AE2"/>
    <w:rsid w:val="00147DB7"/>
    <w:rsid w:val="0016006A"/>
    <w:rsid w:val="00177405"/>
    <w:rsid w:val="001A30F6"/>
    <w:rsid w:val="001C2BB1"/>
    <w:rsid w:val="001C2F1C"/>
    <w:rsid w:val="001F380A"/>
    <w:rsid w:val="001F4438"/>
    <w:rsid w:val="002237D6"/>
    <w:rsid w:val="00230636"/>
    <w:rsid w:val="002508E3"/>
    <w:rsid w:val="002606C1"/>
    <w:rsid w:val="00260BC6"/>
    <w:rsid w:val="002622FA"/>
    <w:rsid w:val="002800AC"/>
    <w:rsid w:val="00284865"/>
    <w:rsid w:val="0031508E"/>
    <w:rsid w:val="00317A9C"/>
    <w:rsid w:val="00354E92"/>
    <w:rsid w:val="00366A79"/>
    <w:rsid w:val="00391281"/>
    <w:rsid w:val="003961CD"/>
    <w:rsid w:val="003C3505"/>
    <w:rsid w:val="003D3F27"/>
    <w:rsid w:val="003E1D05"/>
    <w:rsid w:val="003F6E26"/>
    <w:rsid w:val="004132B4"/>
    <w:rsid w:val="00477B47"/>
    <w:rsid w:val="00487E8A"/>
    <w:rsid w:val="004A107E"/>
    <w:rsid w:val="004F12BB"/>
    <w:rsid w:val="004F3C88"/>
    <w:rsid w:val="004F4C09"/>
    <w:rsid w:val="00543FF2"/>
    <w:rsid w:val="00544ECF"/>
    <w:rsid w:val="005517F5"/>
    <w:rsid w:val="005601F7"/>
    <w:rsid w:val="00577487"/>
    <w:rsid w:val="00584E76"/>
    <w:rsid w:val="005C6696"/>
    <w:rsid w:val="005D033F"/>
    <w:rsid w:val="005D4144"/>
    <w:rsid w:val="005E6124"/>
    <w:rsid w:val="00623FD0"/>
    <w:rsid w:val="00646E9E"/>
    <w:rsid w:val="00661F0E"/>
    <w:rsid w:val="00666DA0"/>
    <w:rsid w:val="0066760E"/>
    <w:rsid w:val="00670AB9"/>
    <w:rsid w:val="006778A1"/>
    <w:rsid w:val="006A3401"/>
    <w:rsid w:val="006A76CF"/>
    <w:rsid w:val="006C3BCE"/>
    <w:rsid w:val="006C4B66"/>
    <w:rsid w:val="00720BF1"/>
    <w:rsid w:val="00720DC9"/>
    <w:rsid w:val="0074125F"/>
    <w:rsid w:val="0074754A"/>
    <w:rsid w:val="007522F8"/>
    <w:rsid w:val="007726F6"/>
    <w:rsid w:val="007C5B70"/>
    <w:rsid w:val="008447F3"/>
    <w:rsid w:val="008670F9"/>
    <w:rsid w:val="008802E9"/>
    <w:rsid w:val="008903F4"/>
    <w:rsid w:val="008934B0"/>
    <w:rsid w:val="008D5ED4"/>
    <w:rsid w:val="008F31A5"/>
    <w:rsid w:val="008F5C97"/>
    <w:rsid w:val="00922DDF"/>
    <w:rsid w:val="00942002"/>
    <w:rsid w:val="009529DD"/>
    <w:rsid w:val="0099469C"/>
    <w:rsid w:val="00997C84"/>
    <w:rsid w:val="009A035E"/>
    <w:rsid w:val="009A0951"/>
    <w:rsid w:val="009A55FF"/>
    <w:rsid w:val="009D0E7D"/>
    <w:rsid w:val="00A06209"/>
    <w:rsid w:val="00A204BC"/>
    <w:rsid w:val="00A45C1B"/>
    <w:rsid w:val="00A64F51"/>
    <w:rsid w:val="00AA3527"/>
    <w:rsid w:val="00AA3742"/>
    <w:rsid w:val="00AD3ADD"/>
    <w:rsid w:val="00AD4D69"/>
    <w:rsid w:val="00AE4F43"/>
    <w:rsid w:val="00AE70D7"/>
    <w:rsid w:val="00B15876"/>
    <w:rsid w:val="00B4150B"/>
    <w:rsid w:val="00B57AA8"/>
    <w:rsid w:val="00B76B1F"/>
    <w:rsid w:val="00BA0A52"/>
    <w:rsid w:val="00BC5C9C"/>
    <w:rsid w:val="00C649CF"/>
    <w:rsid w:val="00C81C12"/>
    <w:rsid w:val="00C97A5D"/>
    <w:rsid w:val="00CC62D9"/>
    <w:rsid w:val="00CD517B"/>
    <w:rsid w:val="00D20243"/>
    <w:rsid w:val="00D319BB"/>
    <w:rsid w:val="00D75D43"/>
    <w:rsid w:val="00D956D2"/>
    <w:rsid w:val="00DB1B0E"/>
    <w:rsid w:val="00DC7505"/>
    <w:rsid w:val="00DF575E"/>
    <w:rsid w:val="00E26AA8"/>
    <w:rsid w:val="00E47EAA"/>
    <w:rsid w:val="00EA0EDD"/>
    <w:rsid w:val="00EA2BBB"/>
    <w:rsid w:val="00EA5220"/>
    <w:rsid w:val="00EA616A"/>
    <w:rsid w:val="00EA77C3"/>
    <w:rsid w:val="00EA7BCC"/>
    <w:rsid w:val="00EB0665"/>
    <w:rsid w:val="00EC075A"/>
    <w:rsid w:val="00ED2C42"/>
    <w:rsid w:val="00F01C38"/>
    <w:rsid w:val="00F15BAE"/>
    <w:rsid w:val="00F455FA"/>
    <w:rsid w:val="00F81FDF"/>
    <w:rsid w:val="00F92215"/>
    <w:rsid w:val="00FB26D5"/>
    <w:rsid w:val="00F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E000"/>
  <w15:chartTrackingRefBased/>
  <w15:docId w15:val="{FFEB2122-27AB-457B-942A-C800E045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A0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BA0A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A0A5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A0A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A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A0A5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A0A52"/>
    <w:rPr>
      <w:b/>
      <w:bCs/>
    </w:rPr>
  </w:style>
  <w:style w:type="paragraph" w:styleId="Paragrafoelenco">
    <w:name w:val="List Paragraph"/>
    <w:basedOn w:val="Normale"/>
    <w:uiPriority w:val="34"/>
    <w:qFormat/>
    <w:rsid w:val="00DC750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C2BB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F81F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7"/>
      <w:szCs w:val="2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1FDF"/>
    <w:rPr>
      <w:rFonts w:ascii="Arial" w:eastAsia="Arial" w:hAnsi="Arial" w:cs="Arial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3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6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1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7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67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7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68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4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59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4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2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6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85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4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172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98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21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1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24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ibunale.monza.giustizia.it/it/content/Index/558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Ramazzotti</dc:creator>
  <cp:keywords/>
  <dc:description/>
  <cp:lastModifiedBy>Grazia Ruggieri</cp:lastModifiedBy>
  <cp:revision>5</cp:revision>
  <dcterms:created xsi:type="dcterms:W3CDTF">2025-10-30T09:42:00Z</dcterms:created>
  <dcterms:modified xsi:type="dcterms:W3CDTF">2025-11-18T11:43:00Z</dcterms:modified>
</cp:coreProperties>
</file>